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双板桥水库防洪抢险应急预案</w:t>
      </w:r>
    </w:p>
    <w:p>
      <w:p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1、总则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1.1编制目的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为了防治洪水，防御并减轻洪涝灾害，保障人民生命财产安全，减少水灾损失，减少水患，以及做好水库防洪工作，特编制双板桥水库防洪抢险应急预案。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1.2编制依据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防洪抢险应急预案编制根据《中华人民共和国水法》、《中华人民共和国防洪法》及《中华人民共和国防汛条例》和江西省实施《中华人民共和国水法》办法与市、县防汛抗旱指挥部下达的文件精神为依据，现编制2024年双板桥水库防洪抢险应急预案。</w:t>
      </w:r>
    </w:p>
    <w:p>
      <w:pPr>
        <w:numPr>
          <w:ilvl w:val="0"/>
          <w:numId w:val="1"/>
        </w:num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2.1工程概况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位于浮梁镇教场村，大坝坝址所处地理位置东经117°229763，北纬29°725349，距浮梁镇政府所在地3.5KM，属饶河昌江支流。双板桥水库始建于1978年3月，1979年2月竣工。总库容64万m³，主要建筑物由斜涵、大坝、平涵、溢洪道、值班房及监控设备组成。溢洪道位于水库右边，斜涵、平涵位于水库大坝左边，值班房位于水库右边，其他设备安装在水库大坝坝体上。水库主要以农田灌溉为主。</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双板桥水库2012列入浮梁县2012年病险水库除险加固项目。并经过上级部门竣工验收，工程项目建设合格。</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双板桥水库设施安全管理交由浮梁镇人民政府管理，运行管理由浮梁镇农业农村办负责管理，维修养护统一由县水利开发建设有限公司负责。水库管理2人，其中镇政府水利部门1人，村级水管员1人。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双板桥水库经过2012年除险加固后无主要问题，目前存在的问题是由于强降雨上游漂浮杂物流向溢洪道及斜涵。发现有漂浮物有管理人员及时打捞。</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2.2防洪调度方式</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水库防洪调度主要是利用水库的调蓄作用和控泄能力有计划地调节洪水，主要有以下调度方式：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固定泄洪调度，控制下泄流量。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防洪预报调度。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防洪与兴利联合调度。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水库工程安全防洪调度。</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以上四种水库防洪调度根据雨情灵活多样进行水库防洪调度，确保水库安全运行。</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2.3历史险情及抢险情况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1996年6月份水库未进行除险加固，大暴雨溢洪道水位高达1.2米。下游多处地带冲毁。2012年双板桥水库除险加固后，多年来，溢洪道最高水位0.3米，防汛抢险人员及时疏通溢洪道杂物。</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应急保障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3.1组织保障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（一）加强水库组织保障措施，确保五个责任人到岗到位。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1.行政责任人：任爱民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2.主管责任人：黄杰权   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3.管理责任人：徐新财   教场村书记   13879881010</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4.技术责任人：余顺发   镇农业农村办主任（水利技术员）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5.巡查责任人：汪松龄   巡查员       13517987829</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（二）双板桥水库临时指挥部组成：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（1）临时指挥部负责人：任爱民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1.根据汛情，及时做出工作部署;</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2.协调解决水库大坝防洪安全管理的重大问题;</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3.组织防洪抢险和重大事件的应急处置;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4.负责向上级政府责任人报告重大事件。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成员：黄杰权   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1.监督指导水库开展防洪调度;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2.组织防汛安全检查;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4.组织防汛知识和技能培训;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5.负责向上级防汛部门报告重大事件。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余顺发   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2.指导防汛准备;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3.指导防洪调度;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徐新财   教场村书记   13879881010</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2.开展防汛安全检查,做好防汛准备;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3.开展防洪抢险和重大事件的应急处置;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4.组织职工参加防汛知识培训;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5.负责向防汛部门报告险情和重大事件。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汪松龄   巡查员   13517987829</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1.执行水库防洪调度运用计划（度汛方案）及应急预案;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2.开展巡查、雨水情观测,做好记录;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3.按规定的要求进行报汛;</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4.参与防洪抢险和重大事件的应急处置;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5.负责向管理责任人报告险情和重大事件。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3.2队伍保障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抢险队伍人员名单：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队长：黄杰权   浮梁镇党委委员   15807086793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成员：余顺发、付江江、方怡舟、吴伟、田慧军、周镇华、程容华、程云萍、程育才、齐文斌、程有根、范松友、余立璇、胡俊杰、杨文兴。</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3.3物资保障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双板桥水库备有块石5方，沙石料5方，编织袋300条，木柱20根。存放在水库值班房及水库沙石料池内，管理员汪松龄，联系电话：13517987829.</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3.4其他保障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双板桥水库通信、交通、电力保障正常。汛前开展防洪巡查并进行演练。</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巡查与险情处置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4.1巡查与险情报告</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巡查。水库巡查包括水库坝体、坝基、斜涵、平涵、溢洪道及通信监控设备等设施有无渗漏、堵塞及设备损坏情况发生，采取现场检查察看方式巡查，做到主汛期每天巡查1次，后汛期每2天巡查1次，非主汛期7天巡查1次，并做好巡察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险情报告。如发现水库出现险情时向上级管理单位上报，同时并关注险情变化，保障信息畅通。</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4.2险情处理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巡查人员发现险情后，立即报告水库直接责任人及行政责任人，应急抢险临时指挥部接到险情报告后，第一时间向下游预警，并制定水库险情处置方案，组织抢险队伍人员实施抢险。险情处置完成后，安排人员24小时值班监测。</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若险情威胁大坝安全，应立即向上级防汛指挥机构报告，请求支援，同时做好下游危险区人员转移安置准备工作，确保人员安全。</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超标准洪水与溃坝防御方案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5.1超标准洪水防御方案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水库在无超标准洪水时，把水位降至汛限水位以下，腾出库容，加强值班巡查，水库行政责任人、主管责任人、管理责任人、技术责任人、巡查责任人到岗到位，同时通知水库下游群众转移到安全区。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5.2溃坝洪水防御方案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当遇到溃坝失事防御方案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当遇到水库溃坝时应采取应变措施：</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1.</w:t>
      </w:r>
      <w:r>
        <w:rPr>
          <w:rFonts w:hint="eastAsia" w:ascii="宋体" w:hAnsi="宋体" w:eastAsia="宋体" w:cs="宋体"/>
          <w:sz w:val="28"/>
          <w:szCs w:val="28"/>
          <w:lang w:val="en-US" w:eastAsia="zh-CN"/>
        </w:rPr>
        <w:t>降低溢洪道，加快洪水泄洪能力；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2.</w:t>
      </w:r>
      <w:r>
        <w:rPr>
          <w:rFonts w:hint="eastAsia" w:ascii="宋体" w:hAnsi="宋体" w:eastAsia="宋体" w:cs="宋体"/>
          <w:sz w:val="28"/>
          <w:szCs w:val="28"/>
          <w:lang w:val="en-US" w:eastAsia="zh-CN"/>
        </w:rPr>
        <w:t>增加泄洪能力，快速泄洪；</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3.</w:t>
      </w:r>
      <w:r>
        <w:rPr>
          <w:rFonts w:hint="eastAsia" w:ascii="宋体" w:hAnsi="宋体" w:eastAsia="宋体" w:cs="宋体"/>
          <w:sz w:val="28"/>
          <w:szCs w:val="28"/>
          <w:lang w:val="en-US" w:eastAsia="zh-CN"/>
        </w:rPr>
        <w:t>及时通知下游人员安全转移到安全区；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4.</w:t>
      </w:r>
      <w:r>
        <w:rPr>
          <w:rFonts w:hint="eastAsia" w:ascii="宋体" w:hAnsi="宋体" w:eastAsia="宋体" w:cs="宋体"/>
          <w:sz w:val="28"/>
          <w:szCs w:val="28"/>
          <w:lang w:val="en-US" w:eastAsia="zh-CN"/>
        </w:rPr>
        <w:t>快速降低水库水位是应对超标准洪水的关键措施。</w:t>
      </w:r>
    </w:p>
    <w:p>
      <w:pPr>
        <w:numPr>
          <w:ilvl w:val="0"/>
          <w:numId w:val="1"/>
        </w:numPr>
        <w:ind w:left="0" w:leftChars="0" w:firstLine="562" w:firstLineChars="200"/>
        <w:jc w:val="both"/>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人员转移及安置</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水库下游转移地点：水库下游无人员转移</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附图和附表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7.1附图</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图一：水库地理位置示意图</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图二：水库枢纽平面布置图</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7.2附表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水库防洪抢险应急预案简表</w:t>
      </w:r>
    </w:p>
    <w:p/>
    <w:p/>
    <w:p/>
    <w:p/>
    <w:p/>
    <w:p>
      <w:r>
        <w:rPr>
          <w:rFonts w:hint="eastAsia" w:ascii="华文中宋" w:hAnsi="华文中宋" w:eastAsia="华文中宋"/>
          <w:sz w:val="44"/>
          <w:szCs w:val="44"/>
          <w:lang w:eastAsia="zh-CN"/>
        </w:rPr>
        <w:drawing>
          <wp:anchor distT="0" distB="0" distL="114300" distR="114300" simplePos="0" relativeHeight="251659264" behindDoc="0" locked="0" layoutInCell="1" allowOverlap="1">
            <wp:simplePos x="0" y="0"/>
            <wp:positionH relativeFrom="column">
              <wp:posOffset>-8890</wp:posOffset>
            </wp:positionH>
            <wp:positionV relativeFrom="paragraph">
              <wp:posOffset>122555</wp:posOffset>
            </wp:positionV>
            <wp:extent cx="5107940" cy="7207250"/>
            <wp:effectExtent l="0" t="0" r="16510" b="12700"/>
            <wp:wrapNone/>
            <wp:docPr id="11" name="图片 11" descr="双板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双板桥"/>
                    <pic:cNvPicPr>
                      <a:picLocks noChangeAspect="1"/>
                    </pic:cNvPicPr>
                  </pic:nvPicPr>
                  <pic:blipFill>
                    <a:blip r:embed="rId4"/>
                    <a:srcRect b="51036"/>
                    <a:stretch>
                      <a:fillRect/>
                    </a:stretch>
                  </pic:blipFill>
                  <pic:spPr>
                    <a:xfrm>
                      <a:off x="0" y="0"/>
                      <a:ext cx="5107940" cy="7207250"/>
                    </a:xfrm>
                    <a:prstGeom prst="rect">
                      <a:avLst/>
                    </a:prstGeom>
                  </pic:spPr>
                </pic:pic>
              </a:graphicData>
            </a:graphic>
          </wp:anchor>
        </w:drawing>
      </w:r>
    </w:p>
    <w:p/>
    <w:p/>
    <w:p/>
    <w:p/>
    <w:p/>
    <w:p/>
    <w:p/>
    <w:p/>
    <w:p/>
    <w:p/>
    <w:p/>
    <w:p/>
    <w:p/>
    <w:p/>
    <w:p/>
    <w:p/>
    <w:p/>
    <w:p/>
    <w:p/>
    <w:p/>
    <w:p/>
    <w:p/>
    <w:p/>
    <w:p/>
    <w:p/>
    <w:p/>
    <w:p/>
    <w:p/>
    <w:p/>
    <w:p/>
    <w:p/>
    <w:p/>
    <w:p/>
    <w:p/>
    <w:p/>
    <w:p/>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图一</w:t>
      </w:r>
    </w:p>
    <w:p/>
    <w:p/>
    <w:p/>
    <w:p>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-12065</wp:posOffset>
            </wp:positionH>
            <wp:positionV relativeFrom="paragraph">
              <wp:posOffset>22860</wp:posOffset>
            </wp:positionV>
            <wp:extent cx="5273040" cy="4996180"/>
            <wp:effectExtent l="0" t="0" r="3810" b="13970"/>
            <wp:wrapNone/>
            <wp:docPr id="1" name="图片 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
                    <pic:cNvPicPr>
                      <a:picLocks noChangeAspect="1"/>
                    </pic:cNvPicPr>
                  </pic:nvPicPr>
                  <pic:blipFill>
                    <a:blip r:embed="rId5"/>
                    <a:stretch>
                      <a:fillRect/>
                    </a:stretch>
                  </pic:blipFill>
                  <pic:spPr>
                    <a:xfrm>
                      <a:off x="0" y="0"/>
                      <a:ext cx="5273040" cy="4996180"/>
                    </a:xfrm>
                    <a:prstGeom prst="rect">
                      <a:avLst/>
                    </a:prstGeom>
                  </pic:spPr>
                </pic:pic>
              </a:graphicData>
            </a:graphic>
          </wp:anchor>
        </w:drawing>
      </w:r>
    </w:p>
    <w:p/>
    <w:p/>
    <w:p/>
    <w:p/>
    <w:p/>
    <w:p/>
    <w:p/>
    <w:p/>
    <w:p/>
    <w:p/>
    <w:p>
      <w:pPr>
        <w:rPr>
          <w:rFonts w:hint="eastAsia" w:eastAsiaTheme="minorEastAsia"/>
          <w:lang w:eastAsia="zh-CN"/>
        </w:rPr>
      </w:pPr>
    </w:p>
    <w:p/>
    <w:p/>
    <w:p/>
    <w:p/>
    <w:p/>
    <w:p/>
    <w:p/>
    <w:p/>
    <w:p/>
    <w:p/>
    <w:p/>
    <w:p/>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图二</w:t>
      </w:r>
    </w:p>
    <w:p/>
    <w:p/>
    <w:p/>
    <w:p/>
    <w:p>
      <w:pPr>
        <w:sectPr>
          <w:pgSz w:w="11906" w:h="16838"/>
          <w:pgMar w:top="1440" w:right="1800" w:bottom="1440" w:left="1800" w:header="851" w:footer="992" w:gutter="0"/>
          <w:cols w:space="425" w:num="1"/>
          <w:docGrid w:type="lines" w:linePitch="312" w:charSpace="0"/>
        </w:sectPr>
      </w:pPr>
    </w:p>
    <w:tbl>
      <w:tblPr>
        <w:tblStyle w:val="2"/>
        <w:tblW w:w="0" w:type="auto"/>
        <w:tblInd w:w="0" w:type="dxa"/>
        <w:tblLayout w:type="autofit"/>
        <w:tblCellMar>
          <w:top w:w="0" w:type="dxa"/>
          <w:left w:w="108" w:type="dxa"/>
          <w:bottom w:w="0" w:type="dxa"/>
          <w:right w:w="108" w:type="dxa"/>
        </w:tblCellMar>
      </w:tblPr>
      <w:tblGrid>
        <w:gridCol w:w="725"/>
        <w:gridCol w:w="811"/>
        <w:gridCol w:w="965"/>
        <w:gridCol w:w="964"/>
        <w:gridCol w:w="1082"/>
        <w:gridCol w:w="506"/>
        <w:gridCol w:w="506"/>
        <w:gridCol w:w="506"/>
        <w:gridCol w:w="685"/>
        <w:gridCol w:w="502"/>
        <w:gridCol w:w="482"/>
        <w:gridCol w:w="606"/>
        <w:gridCol w:w="685"/>
        <w:gridCol w:w="1001"/>
        <w:gridCol w:w="1085"/>
        <w:gridCol w:w="924"/>
        <w:gridCol w:w="682"/>
        <w:gridCol w:w="843"/>
        <w:gridCol w:w="763"/>
        <w:gridCol w:w="607"/>
        <w:gridCol w:w="684"/>
      </w:tblGrid>
      <w:tr>
        <w:trPr>
          <w:trHeight w:val="353" w:hRule="atLeast"/>
        </w:trPr>
        <w:tc>
          <w:tcPr>
            <w:tcW w:w="0" w:type="auto"/>
            <w:gridSpan w:val="21"/>
            <w:tcBorders>
              <w:top w:val="nil"/>
              <w:left w:val="nil"/>
              <w:bottom w:val="nil"/>
              <w:right w:val="nil"/>
            </w:tcBorders>
            <w:shd w:val="clear" w:color="auto" w:fill="auto"/>
            <w:noWrap w:val="0"/>
            <w:vAlign w:val="center"/>
          </w:tcPr>
          <w:p>
            <w:pPr>
              <w:widowControl/>
              <w:spacing w:line="280" w:lineRule="exact"/>
              <w:ind w:right="-105" w:rightChars="-50"/>
              <w:jc w:val="center"/>
              <w:rPr>
                <w:rFonts w:ascii="黑体" w:hAnsi="黑体" w:eastAsia="黑体"/>
                <w:color w:val="auto"/>
                <w:kern w:val="0"/>
                <w:sz w:val="48"/>
                <w:szCs w:val="48"/>
              </w:rPr>
            </w:pPr>
            <w:r>
              <w:rPr>
                <w:rFonts w:hint="eastAsia" w:ascii="仿宋_GB2312" w:hAnsi="仿宋_GB2312" w:eastAsia="仿宋_GB2312" w:cs="仿宋_GB2312"/>
                <w:b/>
                <w:bCs/>
                <w:color w:val="auto"/>
                <w:kern w:val="0"/>
                <w:sz w:val="28"/>
                <w:szCs w:val="28"/>
                <w:u w:val="single"/>
              </w:rPr>
              <w:t xml:space="preserve"> 浮梁县</w:t>
            </w:r>
            <w:r>
              <w:rPr>
                <w:rFonts w:hint="eastAsia" w:ascii="仿宋_GB2312" w:hAnsi="仿宋_GB2312" w:eastAsia="仿宋_GB2312" w:cs="仿宋_GB2312"/>
                <w:b/>
                <w:bCs/>
                <w:color w:val="auto"/>
                <w:kern w:val="0"/>
                <w:sz w:val="28"/>
                <w:szCs w:val="28"/>
                <w:u w:val="single"/>
                <w:lang w:eastAsia="zh-CN"/>
              </w:rPr>
              <w:t>2024</w:t>
            </w:r>
            <w:r>
              <w:rPr>
                <w:rFonts w:hint="eastAsia" w:ascii="仿宋_GB2312" w:hAnsi="仿宋_GB2312" w:eastAsia="仿宋_GB2312" w:cs="仿宋_GB2312"/>
                <w:b/>
                <w:bCs/>
                <w:color w:val="auto"/>
                <w:kern w:val="0"/>
                <w:sz w:val="28"/>
                <w:szCs w:val="28"/>
                <w:u w:val="single"/>
              </w:rPr>
              <w:t xml:space="preserve">年  双板桥  </w:t>
            </w:r>
            <w:r>
              <w:rPr>
                <w:rFonts w:hint="eastAsia" w:ascii="仿宋_GB2312" w:hAnsi="仿宋_GB2312" w:eastAsia="仿宋_GB2312" w:cs="仿宋_GB2312"/>
                <w:b/>
                <w:bCs/>
                <w:color w:val="auto"/>
                <w:kern w:val="0"/>
                <w:sz w:val="28"/>
                <w:szCs w:val="28"/>
              </w:rPr>
              <w:t>水库度汛方案简表(调度运用方案）</w:t>
            </w:r>
          </w:p>
        </w:tc>
      </w:tr>
      <w:tr>
        <w:tblPrEx>
          <w:tblCellMar>
            <w:top w:w="0" w:type="dxa"/>
            <w:left w:w="108" w:type="dxa"/>
            <w:bottom w:w="0" w:type="dxa"/>
            <w:right w:w="108" w:type="dxa"/>
          </w:tblCellMar>
        </w:tblPrEx>
        <w:trPr>
          <w:trHeight w:val="387" w:hRule="atLeast"/>
        </w:trPr>
        <w:tc>
          <w:tcPr>
            <w:tcW w:w="0" w:type="auto"/>
            <w:gridSpan w:val="21"/>
            <w:tcBorders>
              <w:top w:val="nil"/>
              <w:left w:val="nil"/>
              <w:bottom w:val="nil"/>
              <w:right w:val="nil"/>
            </w:tcBorders>
            <w:shd w:val="clear" w:color="auto" w:fill="auto"/>
            <w:noWrap w:val="0"/>
            <w:vAlign w:val="center"/>
          </w:tcPr>
          <w:p>
            <w:pPr>
              <w:widowControl/>
              <w:spacing w:line="280" w:lineRule="exact"/>
              <w:ind w:left="-105" w:leftChars="-50" w:right="-105" w:rightChars="-50"/>
              <w:jc w:val="left"/>
              <w:rPr>
                <w:rFonts w:ascii="仿宋_GB2312" w:hAnsi="宋体"/>
                <w:b/>
                <w:bCs/>
                <w:color w:val="auto"/>
                <w:kern w:val="0"/>
              </w:rPr>
            </w:pPr>
            <w:r>
              <w:rPr>
                <w:rFonts w:hint="eastAsia" w:ascii="仿宋_GB2312" w:hAnsi="仿宋_GB2312" w:eastAsia="仿宋_GB2312" w:cs="仿宋_GB2312"/>
                <w:b/>
                <w:bCs/>
                <w:color w:val="auto"/>
                <w:kern w:val="0"/>
              </w:rPr>
              <w:t xml:space="preserve"> </w:t>
            </w:r>
            <w:r>
              <w:rPr>
                <w:rFonts w:hint="eastAsia" w:ascii="仿宋_GB2312" w:hAnsi="仿宋_GB2312" w:eastAsia="仿宋_GB2312" w:cs="仿宋_GB2312"/>
                <w:b/>
                <w:bCs/>
                <w:color w:val="auto"/>
                <w:kern w:val="0"/>
                <w:szCs w:val="21"/>
              </w:rPr>
              <w:t>所在县（市、区）：浮梁县       位置：浮梁镇教场村       所在流域及水系： 昌江支流        高程系统：黄海高程</w:t>
            </w:r>
          </w:p>
        </w:tc>
      </w:tr>
      <w:tr>
        <w:tblPrEx>
          <w:tblCellMar>
            <w:top w:w="0" w:type="dxa"/>
            <w:left w:w="108" w:type="dxa"/>
            <w:bottom w:w="0" w:type="dxa"/>
            <w:right w:w="108" w:type="dxa"/>
          </w:tblCellMar>
        </w:tblPrEx>
        <w:trPr>
          <w:trHeight w:val="51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集水面积</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(平方公里)</w:t>
            </w:r>
          </w:p>
        </w:tc>
        <w:tc>
          <w:tcPr>
            <w:tcW w:w="0" w:type="auto"/>
            <w:gridSpan w:val="3"/>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大   坝</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库</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洪水标准</w:t>
            </w:r>
          </w:p>
        </w:tc>
        <w:tc>
          <w:tcPr>
            <w:tcW w:w="0" w:type="auto"/>
            <w:gridSpan w:val="6"/>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现有防洪安全标准</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历史最高洪水</w:t>
            </w:r>
          </w:p>
        </w:tc>
        <w:tc>
          <w:tcPr>
            <w:tcW w:w="0" w:type="auto"/>
            <w:gridSpan w:val="4"/>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汛期控制运用指标</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蓄  水</w:t>
            </w:r>
          </w:p>
        </w:tc>
      </w:tr>
      <w:tr>
        <w:tblPrEx>
          <w:tblCellMar>
            <w:top w:w="0" w:type="dxa"/>
            <w:left w:w="108" w:type="dxa"/>
            <w:bottom w:w="0" w:type="dxa"/>
            <w:right w:w="108" w:type="dxa"/>
          </w:tblCellMar>
        </w:tblPrEx>
        <w:trPr>
          <w:trHeight w:val="69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坝型</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最大</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坝高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坝顶</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高程</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（米）</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设计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校核</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频率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洪峰</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0" w:type="auto"/>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(万立米/天数)</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洪水位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最大下</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泄流量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0" w:type="auto"/>
            <w:vMerge w:val="restart"/>
            <w:tcBorders>
              <w:top w:val="nil"/>
              <w:left w:val="nil"/>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时间</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（年月日）</w:t>
            </w:r>
          </w:p>
        </w:tc>
        <w:tc>
          <w:tcPr>
            <w:tcW w:w="0" w:type="auto"/>
            <w:vMerge w:val="restart"/>
            <w:tcBorders>
              <w:top w:val="nil"/>
              <w:left w:val="nil"/>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最高水位（米）</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(4月1日～6月30日)</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后汛期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(7月1日～9月30日)</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正常</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高水位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r>
      <w:tr>
        <w:tblPrEx>
          <w:tblCellMar>
            <w:top w:w="0" w:type="dxa"/>
            <w:left w:w="108" w:type="dxa"/>
            <w:bottom w:w="0" w:type="dxa"/>
            <w:right w:w="108" w:type="dxa"/>
          </w:tblCellMar>
        </w:tblPrEx>
        <w:trPr>
          <w:trHeight w:val="645"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0" w:type="auto"/>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32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bookmarkStart w:id="0" w:name="_GoBack" w:colFirst="0" w:colLast="19"/>
            <w:r>
              <w:rPr>
                <w:rFonts w:hint="eastAsia" w:ascii="仿宋_GB2312" w:hAnsi="仿宋_GB2312" w:eastAsia="仿宋_GB2312" w:cs="仿宋_GB2312"/>
                <w:color w:val="auto"/>
                <w:kern w:val="0"/>
                <w:sz w:val="20"/>
                <w:szCs w:val="20"/>
              </w:rPr>
              <w:t>1.3</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斜墙坝</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18.4</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73.3</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64</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0.5</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0.5</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31.22</w:t>
            </w:r>
          </w:p>
        </w:tc>
        <w:tc>
          <w:tcPr>
            <w:tcW w:w="0" w:type="auto"/>
            <w:gridSpan w:val="2"/>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55.85</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71.87</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18.13</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18"/>
                <w:szCs w:val="18"/>
              </w:rPr>
              <w:t>1998年6月26日</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71.28</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69.81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42.1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69.81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42.1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69.81</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42.1</w:t>
            </w:r>
          </w:p>
        </w:tc>
      </w:tr>
      <w:bookmarkEnd w:id="0"/>
      <w:tr>
        <w:tblPrEx>
          <w:tblCellMar>
            <w:top w:w="0" w:type="dxa"/>
            <w:left w:w="108" w:type="dxa"/>
            <w:bottom w:w="0" w:type="dxa"/>
            <w:right w:w="108" w:type="dxa"/>
          </w:tblCellMar>
        </w:tblPrEx>
        <w:trPr>
          <w:trHeight w:val="90" w:hRule="atLeast"/>
        </w:trPr>
        <w:tc>
          <w:tcPr>
            <w:tcW w:w="0" w:type="auto"/>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安</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全</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度</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汛</w:t>
            </w:r>
          </w:p>
        </w:tc>
        <w:tc>
          <w:tcPr>
            <w:tcW w:w="0" w:type="auto"/>
            <w:gridSpan w:val="4"/>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right="105" w:rightChars="5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     库区站网布设及观测手段</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雨量站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水位站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水文站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个，其中遥测站</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预   报</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预报精度：无                             级  别：</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预见期：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手算，电算：</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操作单位：</w:t>
            </w:r>
          </w:p>
        </w:tc>
        <w:tc>
          <w:tcPr>
            <w:tcW w:w="0" w:type="auto"/>
            <w:gridSpan w:val="10"/>
            <w:tcBorders>
              <w:top w:val="single" w:color="auto" w:sz="4" w:space="0"/>
              <w:left w:val="nil"/>
              <w:bottom w:val="single" w:color="auto" w:sz="4" w:space="0"/>
              <w:right w:val="single" w:color="auto" w:sz="4" w:space="0"/>
            </w:tcBorders>
            <w:shd w:val="clear" w:color="auto" w:fill="auto"/>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调        度       方       式</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标准      控泄条件      下泄流量       保护对象      调度权限</w:t>
            </w:r>
          </w:p>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gridSpan w:val="6"/>
            <w:tcBorders>
              <w:top w:val="single" w:color="auto" w:sz="4" w:space="0"/>
              <w:left w:val="nil"/>
              <w:bottom w:val="single" w:color="auto" w:sz="4" w:space="0"/>
              <w:right w:val="single" w:color="auto" w:sz="4" w:space="0"/>
            </w:tcBorders>
            <w:shd w:val="clear" w:color="auto" w:fill="auto"/>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防御超标准洪水措施：</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1.加大巡查次数</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2.开闸泄洪</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3.检查溢洪道及水库运行情况</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坚持24小时值班</w:t>
            </w:r>
          </w:p>
        </w:tc>
      </w:tr>
      <w:tr>
        <w:tblPrEx>
          <w:tblCellMar>
            <w:top w:w="0" w:type="dxa"/>
            <w:left w:w="108" w:type="dxa"/>
            <w:bottom w:w="0" w:type="dxa"/>
            <w:right w:w="108" w:type="dxa"/>
          </w:tblCellMar>
        </w:tblPrEx>
        <w:trPr>
          <w:trHeight w:val="454" w:hRule="atLeast"/>
        </w:trPr>
        <w:tc>
          <w:tcPr>
            <w:tcW w:w="0" w:type="auto"/>
            <w:vMerge w:val="restart"/>
            <w:tcBorders>
              <w:top w:val="nil"/>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要</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目</w:t>
            </w:r>
          </w:p>
        </w:tc>
        <w:tc>
          <w:tcPr>
            <w:tcW w:w="0" w:type="auto"/>
            <w:gridSpan w:val="4"/>
            <w:vMerge w:val="restart"/>
            <w:tcBorders>
              <w:top w:val="single" w:color="auto" w:sz="4" w:space="0"/>
              <w:left w:val="single" w:color="auto" w:sz="4" w:space="0"/>
              <w:right w:val="single" w:color="auto" w:sz="4" w:space="0"/>
            </w:tcBorders>
            <w:shd w:val="clear" w:color="auto" w:fill="auto"/>
            <w:noWrap w:val="0"/>
            <w:vAlign w:val="top"/>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影响工程安全的质量问题及处置措施：</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大坝清杂</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打捞库内枯枝</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控制水位</w:t>
            </w: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lang w:eastAsia="zh-CN"/>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lang w:eastAsia="zh-CN"/>
              </w:rPr>
            </w:pPr>
          </w:p>
        </w:tc>
        <w:tc>
          <w:tcPr>
            <w:tcW w:w="0" w:type="auto"/>
            <w:gridSpan w:val="5"/>
            <w:vMerge w:val="restart"/>
            <w:tcBorders>
              <w:top w:val="single" w:color="auto" w:sz="4" w:space="0"/>
              <w:left w:val="single" w:color="auto" w:sz="4" w:space="0"/>
              <w:right w:val="single" w:color="000000" w:sz="4" w:space="0"/>
            </w:tcBorders>
            <w:shd w:val="clear" w:color="auto" w:fill="auto"/>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 xml:space="preserve"> 工程内、外交通状况：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通讯状况：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通电状况：</w:t>
            </w:r>
            <w:r>
              <w:rPr>
                <w:rFonts w:hint="eastAsia" w:ascii="仿宋_GB2312" w:hAnsi="仿宋_GB2312" w:eastAsia="仿宋_GB2312" w:cs="仿宋_GB2312"/>
                <w:color w:val="auto"/>
                <w:kern w:val="0"/>
                <w:sz w:val="20"/>
                <w:szCs w:val="20"/>
                <w:lang w:eastAsia="zh-CN"/>
              </w:rPr>
              <w:t>好</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0" w:type="auto"/>
            <w:gridSpan w:val="5"/>
            <w:vMerge w:val="restart"/>
            <w:tcBorders>
              <w:top w:val="single" w:color="auto" w:sz="4" w:space="0"/>
              <w:left w:val="single" w:color="auto" w:sz="4" w:space="0"/>
              <w:right w:val="single" w:color="000000" w:sz="4" w:space="0"/>
            </w:tcBorders>
            <w:shd w:val="clear" w:color="auto" w:fill="auto"/>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备用电源：</w:t>
            </w:r>
            <w:r>
              <w:rPr>
                <w:rFonts w:hint="eastAsia" w:ascii="仿宋_GB2312" w:hAnsi="仿宋_GB2312" w:eastAsia="仿宋_GB2312" w:cs="仿宋_GB2312"/>
                <w:color w:val="auto"/>
                <w:kern w:val="0"/>
                <w:sz w:val="20"/>
                <w:szCs w:val="20"/>
                <w:lang w:eastAsia="zh-CN"/>
              </w:rPr>
              <w:t>无</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安置位置：</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电源类别：</w:t>
            </w:r>
          </w:p>
          <w:p>
            <w:pPr>
              <w:widowControl/>
              <w:adjustRightInd w:val="0"/>
              <w:snapToGrid w:val="0"/>
              <w:spacing w:line="240" w:lineRule="exact"/>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功    率：</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泄洪设施要求的启动功率：</w:t>
            </w:r>
          </w:p>
          <w:p>
            <w:pPr>
              <w:widowControl/>
              <w:adjustRightInd w:val="0"/>
              <w:snapToGrid w:val="0"/>
              <w:spacing w:line="240" w:lineRule="exact"/>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水库备用电源的启动功率：</w:t>
            </w:r>
          </w:p>
        </w:tc>
        <w:tc>
          <w:tcPr>
            <w:tcW w:w="0" w:type="auto"/>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行政责任人</w:t>
            </w:r>
          </w:p>
        </w:tc>
        <w:tc>
          <w:tcPr>
            <w:tcW w:w="0" w:type="auto"/>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lang w:eastAsia="zh-CN"/>
              </w:rPr>
              <w:t>任爱民</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镇党委副书记、镇长</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lang w:val="en-US" w:eastAsia="zh-CN"/>
              </w:rPr>
              <w:t>13707982523</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主管责任人</w:t>
            </w: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nil"/>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lang w:eastAsia="zh-CN"/>
              </w:rPr>
              <w:t>黄杰权</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浮梁镇</w:t>
            </w:r>
            <w:r>
              <w:rPr>
                <w:rFonts w:hint="eastAsia" w:ascii="仿宋_GB2312" w:hAnsi="仿宋_GB2312" w:eastAsia="仿宋_GB2312" w:cs="仿宋_GB2312"/>
                <w:color w:val="auto"/>
                <w:kern w:val="0"/>
                <w:sz w:val="20"/>
                <w:szCs w:val="20"/>
                <w:lang w:eastAsia="zh-CN"/>
              </w:rPr>
              <w:t>党委委员</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lang w:val="en-US" w:eastAsia="zh-CN"/>
              </w:rPr>
              <w:t>15807086793</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single" w:color="auto" w:sz="4" w:space="0"/>
              <w:left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管理责任人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徐新财</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教场村书记</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rPr>
              <w:t>13879881010</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restart"/>
            <w:tcBorders>
              <w:top w:val="single" w:color="auto" w:sz="4" w:space="0"/>
              <w:left w:val="single" w:color="000000"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技术责任人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姓名</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单位及职务</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vMerge w:val="continue"/>
            <w:tcBorders>
              <w:left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vMerge w:val="continue"/>
            <w:tcBorders>
              <w:left w:val="single" w:color="auto"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vMerge w:val="continue"/>
            <w:tcBorders>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余顺发</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0"/>
                <w:szCs w:val="20"/>
              </w:rPr>
              <w:t>农业农村办主任</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0"/>
                <w:szCs w:val="20"/>
              </w:rPr>
              <w:t>13407988565</w:t>
            </w:r>
          </w:p>
        </w:tc>
      </w:tr>
      <w:tr>
        <w:tblPrEx>
          <w:tblCellMar>
            <w:top w:w="0" w:type="dxa"/>
            <w:left w:w="108" w:type="dxa"/>
            <w:bottom w:w="0" w:type="dxa"/>
            <w:right w:w="108" w:type="dxa"/>
          </w:tblCellMar>
        </w:tblPrEx>
        <w:trPr>
          <w:trHeight w:val="454" w:hRule="atLeast"/>
        </w:trPr>
        <w:tc>
          <w:tcPr>
            <w:tcW w:w="0" w:type="auto"/>
            <w:tcBorders>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4"/>
            <w:tcBorders>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tcBorders>
              <w:left w:val="single" w:color="auto" w:sz="4" w:space="0"/>
              <w:bottom w:val="single" w:color="000000"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gridSpan w:val="5"/>
            <w:tcBorders>
              <w:left w:val="single" w:color="auto" w:sz="4" w:space="0"/>
              <w:bottom w:val="single" w:color="000000" w:sz="4" w:space="0"/>
              <w:right w:val="single" w:color="000000" w:sz="4" w:space="0"/>
            </w:tcBorders>
            <w:shd w:val="clear" w:color="auto" w:fill="auto"/>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1"/>
                <w:szCs w:val="21"/>
              </w:rPr>
            </w:pPr>
          </w:p>
        </w:tc>
        <w:tc>
          <w:tcPr>
            <w:tcW w:w="0" w:type="auto"/>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巡查责任人</w:t>
            </w:r>
          </w:p>
        </w:tc>
        <w:tc>
          <w:tcPr>
            <w:tcW w:w="0" w:type="auto"/>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汪松龄</w:t>
            </w:r>
          </w:p>
        </w:tc>
        <w:tc>
          <w:tcPr>
            <w:tcW w:w="0" w:type="auto"/>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巡查员</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ind w:left="-105" w:leftChars="-50" w:right="-105" w:rightChars="-50"/>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13517987829</w:t>
            </w: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EEC2B0"/>
    <w:multiLevelType w:val="singleLevel"/>
    <w:tmpl w:val="30EEC2B0"/>
    <w:lvl w:ilvl="0" w:tentative="0">
      <w:start w:val="1"/>
      <w:numFmt w:val="decimal"/>
      <w:lvlText w:val="%1."/>
      <w:lvlJc w:val="left"/>
      <w:pPr>
        <w:tabs>
          <w:tab w:val="left" w:pos="312"/>
        </w:tabs>
      </w:pPr>
    </w:lvl>
  </w:abstractNum>
  <w:abstractNum w:abstractNumId="1">
    <w:nsid w:val="677224D3"/>
    <w:multiLevelType w:val="singleLevel"/>
    <w:tmpl w:val="677224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MzQ1MjVkNzNiNmJmMDk2Y2NhNDBiMWEyYzViMDUifQ=="/>
  </w:docVars>
  <w:rsids>
    <w:rsidRoot w:val="5F0E3F70"/>
    <w:rsid w:val="47B70FB5"/>
    <w:rsid w:val="530A7E3F"/>
    <w:rsid w:val="57DB56AE"/>
    <w:rsid w:val="5F0E3F70"/>
    <w:rsid w:val="6D9B58D7"/>
    <w:rsid w:val="74AD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2024-03-06T07:35:00Z</dcterms:created>
  <dc:creator>浮梁文印社 古月图文 二部</dc:creator>
  <cp:lastModifiedBy>浮梁县</cp:lastModifiedBy>
  <cp:lastPrinted>2024-03-06T07:46:00Z</cp:lastPrinted>
  <dcterms:modified xsi:type="dcterms:W3CDTF">2024-03-12T08:25:15Z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69067C0193ED4CEB91CD3F16AD854B2E_11</vt:lpwstr>
  </property>
</Properties>
</file>